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2683" w14:textId="77777777" w:rsidR="00CF65C6" w:rsidRPr="00D80708" w:rsidRDefault="00CF65C6" w:rsidP="00E11B96">
      <w:pPr>
        <w:jc w:val="center"/>
        <w:rPr>
          <w:rFonts w:asciiTheme="majorHAnsi" w:hAnsiTheme="majorHAnsi"/>
        </w:rPr>
      </w:pPr>
    </w:p>
    <w:p w14:paraId="37B0344D" w14:textId="7255E702" w:rsidR="00FB45EF" w:rsidRPr="00D80708" w:rsidRDefault="003D23FA" w:rsidP="003D23FA">
      <w:pPr>
        <w:jc w:val="both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Within the LADDER project (</w:t>
      </w:r>
      <w:hyperlink r:id="rId7" w:history="1">
        <w:r w:rsidRPr="00D80708">
          <w:rPr>
            <w:rStyle w:val="Hyperlink"/>
            <w:rFonts w:asciiTheme="majorHAnsi" w:hAnsiTheme="majorHAnsi"/>
            <w:lang w:val="en-GB"/>
          </w:rPr>
          <w:t>www.ladder-project.eu</w:t>
        </w:r>
      </w:hyperlink>
      <w:r w:rsidRPr="00D80708">
        <w:rPr>
          <w:rFonts w:asciiTheme="majorHAnsi" w:hAnsiTheme="majorHAnsi"/>
          <w:lang w:val="en-GB"/>
        </w:rPr>
        <w:t>), the consortium members develop &amp; support activities in the field of development e</w:t>
      </w:r>
      <w:r w:rsidR="00595719">
        <w:rPr>
          <w:rFonts w:asciiTheme="majorHAnsi" w:hAnsiTheme="majorHAnsi"/>
          <w:lang w:val="en-GB"/>
        </w:rPr>
        <w:t>ducation and awareness raising (DEAR).</w:t>
      </w:r>
    </w:p>
    <w:p w14:paraId="7DD3429A" w14:textId="77777777" w:rsidR="00FD66E2" w:rsidRPr="00D80708" w:rsidRDefault="00FB45EF" w:rsidP="003D23FA">
      <w:pPr>
        <w:jc w:val="both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This</w:t>
      </w:r>
      <w:r w:rsidR="003D23FA" w:rsidRPr="00D80708">
        <w:rPr>
          <w:rFonts w:asciiTheme="majorHAnsi" w:hAnsiTheme="majorHAnsi"/>
          <w:lang w:val="en-GB"/>
        </w:rPr>
        <w:t xml:space="preserve"> call for prop</w:t>
      </w:r>
      <w:r w:rsidRPr="00D80708">
        <w:rPr>
          <w:rFonts w:asciiTheme="majorHAnsi" w:hAnsiTheme="majorHAnsi"/>
          <w:lang w:val="en-GB"/>
        </w:rPr>
        <w:t xml:space="preserve">osal is launched </w:t>
      </w:r>
      <w:r w:rsidR="00FD66E2" w:rsidRPr="00D80708">
        <w:rPr>
          <w:rFonts w:asciiTheme="majorHAnsi" w:hAnsiTheme="majorHAnsi"/>
          <w:lang w:val="en-GB"/>
        </w:rPr>
        <w:t xml:space="preserve">to support grass-root projects in the field of development education and awareness raising. </w:t>
      </w:r>
      <w:r w:rsidR="003D23FA" w:rsidRPr="00D80708">
        <w:rPr>
          <w:rFonts w:asciiTheme="majorHAnsi" w:hAnsiTheme="majorHAnsi"/>
          <w:lang w:val="en-GB"/>
        </w:rPr>
        <w:t xml:space="preserve">The grants </w:t>
      </w:r>
      <w:r w:rsidR="00FD66E2" w:rsidRPr="00D80708">
        <w:rPr>
          <w:rFonts w:asciiTheme="majorHAnsi" w:hAnsiTheme="majorHAnsi"/>
          <w:lang w:val="en-GB"/>
        </w:rPr>
        <w:t xml:space="preserve">shall </w:t>
      </w:r>
      <w:r w:rsidR="003D23FA" w:rsidRPr="00D80708">
        <w:rPr>
          <w:rFonts w:asciiTheme="majorHAnsi" w:hAnsiTheme="majorHAnsi"/>
          <w:lang w:val="en-GB"/>
        </w:rPr>
        <w:t xml:space="preserve">focus on micro projects that can produce specific results that will stand as examples and inspiration for citizens, </w:t>
      </w:r>
      <w:r w:rsidR="00FD66E2" w:rsidRPr="00D80708">
        <w:rPr>
          <w:rFonts w:asciiTheme="majorHAnsi" w:hAnsiTheme="majorHAnsi"/>
          <w:lang w:val="en-GB"/>
        </w:rPr>
        <w:t xml:space="preserve">NGOs </w:t>
      </w:r>
      <w:r w:rsidR="003D23FA" w:rsidRPr="00D80708">
        <w:rPr>
          <w:rFonts w:asciiTheme="majorHAnsi" w:hAnsiTheme="majorHAnsi"/>
          <w:lang w:val="en-GB"/>
        </w:rPr>
        <w:t xml:space="preserve">and Local Authorities (LAs) on how to generate constructive and result-oriented activities. </w:t>
      </w:r>
    </w:p>
    <w:p w14:paraId="2CAF0130" w14:textId="12085751" w:rsidR="003D23FA" w:rsidRDefault="003D23FA" w:rsidP="003D23FA">
      <w:pPr>
        <w:jc w:val="both"/>
        <w:rPr>
          <w:rFonts w:asciiTheme="majorHAnsi" w:hAnsiTheme="majorHAnsi"/>
          <w:lang w:val="en-GB"/>
        </w:rPr>
      </w:pPr>
      <w:r w:rsidRPr="00B57AB1">
        <w:rPr>
          <w:rFonts w:asciiTheme="majorHAnsi" w:hAnsiTheme="majorHAnsi"/>
          <w:lang w:val="en-GB"/>
        </w:rPr>
        <w:t xml:space="preserve">These micro-projects should aim at </w:t>
      </w:r>
      <w:r w:rsidRPr="00B57AB1">
        <w:rPr>
          <w:rFonts w:asciiTheme="majorHAnsi" w:hAnsiTheme="majorHAnsi"/>
          <w:b/>
          <w:lang w:val="en-GB"/>
        </w:rPr>
        <w:t>ra</w:t>
      </w:r>
      <w:r w:rsidR="00464916" w:rsidRPr="00B57AB1">
        <w:rPr>
          <w:rFonts w:asciiTheme="majorHAnsi" w:hAnsiTheme="majorHAnsi"/>
          <w:b/>
          <w:lang w:val="en-GB"/>
        </w:rPr>
        <w:t>ising public awareness on</w:t>
      </w:r>
      <w:r w:rsidRPr="00B57AB1">
        <w:rPr>
          <w:rFonts w:asciiTheme="majorHAnsi" w:hAnsiTheme="majorHAnsi"/>
          <w:b/>
          <w:lang w:val="en-GB"/>
        </w:rPr>
        <w:t xml:space="preserve"> global development</w:t>
      </w:r>
      <w:r w:rsidRPr="00B57AB1">
        <w:rPr>
          <w:rFonts w:asciiTheme="majorHAnsi" w:hAnsiTheme="majorHAnsi"/>
          <w:lang w:val="en-GB"/>
        </w:rPr>
        <w:t xml:space="preserve"> </w:t>
      </w:r>
      <w:r w:rsidR="00852A05" w:rsidRPr="00454264">
        <w:rPr>
          <w:rFonts w:asciiTheme="majorHAnsi" w:hAnsiTheme="majorHAnsi"/>
          <w:b/>
          <w:lang w:val="en-GB"/>
        </w:rPr>
        <w:t>issues</w:t>
      </w:r>
      <w:r w:rsidR="00852A05" w:rsidRPr="00B57AB1">
        <w:rPr>
          <w:rFonts w:asciiTheme="majorHAnsi" w:hAnsiTheme="majorHAnsi"/>
          <w:lang w:val="en-GB"/>
        </w:rPr>
        <w:t xml:space="preserve"> (related to the </w:t>
      </w:r>
      <w:hyperlink r:id="rId8" w:history="1">
        <w:r w:rsidR="00852A05" w:rsidRPr="00B57AB1">
          <w:rPr>
            <w:rStyle w:val="Hyperlink"/>
            <w:rFonts w:asciiTheme="majorHAnsi" w:hAnsiTheme="majorHAnsi"/>
            <w:lang w:val="en-GB"/>
          </w:rPr>
          <w:t>Sustainable Development Goals - S</w:t>
        </w:r>
        <w:r w:rsidR="00464916" w:rsidRPr="00B57AB1">
          <w:rPr>
            <w:rStyle w:val="Hyperlink"/>
            <w:rFonts w:asciiTheme="majorHAnsi" w:hAnsiTheme="majorHAnsi"/>
            <w:lang w:val="en-GB"/>
          </w:rPr>
          <w:t>DGs</w:t>
        </w:r>
      </w:hyperlink>
      <w:r w:rsidR="00464916" w:rsidRPr="00B57AB1">
        <w:rPr>
          <w:rFonts w:asciiTheme="majorHAnsi" w:hAnsiTheme="majorHAnsi"/>
          <w:lang w:val="en-GB"/>
        </w:rPr>
        <w:t>)</w:t>
      </w:r>
      <w:r w:rsidR="00464916" w:rsidRPr="00B57AB1">
        <w:rPr>
          <w:rFonts w:asciiTheme="majorHAnsi" w:hAnsiTheme="majorHAnsi"/>
          <w:b/>
          <w:lang w:val="en-GB"/>
        </w:rPr>
        <w:t xml:space="preserve"> </w:t>
      </w:r>
      <w:r w:rsidRPr="00B57AB1">
        <w:rPr>
          <w:rFonts w:asciiTheme="majorHAnsi" w:hAnsiTheme="majorHAnsi"/>
          <w:b/>
          <w:lang w:val="en-GB"/>
        </w:rPr>
        <w:t xml:space="preserve">and promoting </w:t>
      </w:r>
      <w:r w:rsidR="00464916" w:rsidRPr="00B57AB1">
        <w:rPr>
          <w:rFonts w:asciiTheme="majorHAnsi" w:hAnsiTheme="majorHAnsi"/>
          <w:b/>
          <w:lang w:val="en-GB"/>
        </w:rPr>
        <w:t>global citizenship/</w:t>
      </w:r>
      <w:r w:rsidRPr="00B57AB1">
        <w:rPr>
          <w:rFonts w:asciiTheme="majorHAnsi" w:hAnsiTheme="majorHAnsi"/>
          <w:b/>
          <w:lang w:val="en-GB"/>
        </w:rPr>
        <w:t>development education</w:t>
      </w:r>
      <w:r w:rsidR="00852A05" w:rsidRPr="00B57AB1">
        <w:rPr>
          <w:rFonts w:asciiTheme="majorHAnsi" w:hAnsiTheme="majorHAnsi"/>
          <w:lang w:val="en-GB"/>
        </w:rPr>
        <w:t xml:space="preserve"> (</w:t>
      </w:r>
      <w:r w:rsidR="00454264">
        <w:rPr>
          <w:rFonts w:asciiTheme="majorHAnsi" w:hAnsiTheme="majorHAnsi"/>
          <w:lang w:val="en-GB"/>
        </w:rPr>
        <w:t xml:space="preserve">see </w:t>
      </w:r>
      <w:hyperlink r:id="rId9" w:history="1">
        <w:r w:rsidR="00454264" w:rsidRPr="00454264">
          <w:rPr>
            <w:rStyle w:val="Hyperlink"/>
            <w:rFonts w:asciiTheme="majorHAnsi" w:hAnsiTheme="majorHAnsi"/>
            <w:lang w:val="en-GB"/>
          </w:rPr>
          <w:t>Development Education and Raising Awareness - DEAR</w:t>
        </w:r>
      </w:hyperlink>
      <w:r w:rsidR="00454264">
        <w:rPr>
          <w:rFonts w:asciiTheme="majorHAnsi" w:hAnsiTheme="majorHAnsi"/>
          <w:lang w:val="en-GB"/>
        </w:rPr>
        <w:t xml:space="preserve"> programme</w:t>
      </w:r>
      <w:r w:rsidR="00852A05" w:rsidRPr="00B57AB1">
        <w:rPr>
          <w:rFonts w:asciiTheme="majorHAnsi" w:hAnsiTheme="majorHAnsi"/>
          <w:lang w:val="en-GB"/>
        </w:rPr>
        <w:t>),</w:t>
      </w:r>
      <w:r w:rsidR="00464916" w:rsidRPr="00B57AB1">
        <w:rPr>
          <w:rFonts w:asciiTheme="majorHAnsi" w:hAnsiTheme="majorHAnsi"/>
          <w:lang w:val="en-GB"/>
        </w:rPr>
        <w:t xml:space="preserve"> w</w:t>
      </w:r>
      <w:r w:rsidRPr="00B57AB1">
        <w:rPr>
          <w:rFonts w:asciiTheme="majorHAnsi" w:hAnsiTheme="majorHAnsi"/>
          <w:lang w:val="en-GB"/>
        </w:rPr>
        <w:t xml:space="preserve">hich includes raising awareness and informing citizens, promoting engagement in action(s) at local level &amp; finally, changing attitudes regarding global challenges &amp; development matters) </w:t>
      </w:r>
      <w:r w:rsidRPr="00B57AB1">
        <w:rPr>
          <w:rFonts w:asciiTheme="majorHAnsi" w:hAnsiTheme="majorHAnsi"/>
          <w:u w:val="single"/>
          <w:lang w:val="en-GB"/>
        </w:rPr>
        <w:t>at the grass-root level</w:t>
      </w:r>
      <w:r w:rsidRPr="00B57AB1">
        <w:rPr>
          <w:rFonts w:asciiTheme="majorHAnsi" w:hAnsiTheme="majorHAnsi"/>
          <w:lang w:val="en-GB"/>
        </w:rPr>
        <w:t xml:space="preserve"> in the EU.</w:t>
      </w:r>
    </w:p>
    <w:p w14:paraId="50CD5000" w14:textId="77777777" w:rsidR="00D80708" w:rsidRPr="00D80708" w:rsidRDefault="00D80708" w:rsidP="003D23FA">
      <w:pPr>
        <w:jc w:val="both"/>
        <w:rPr>
          <w:rFonts w:asciiTheme="majorHAnsi" w:hAnsiTheme="majorHAnsi"/>
          <w:lang w:val="en-GB"/>
        </w:rPr>
      </w:pPr>
    </w:p>
    <w:p w14:paraId="6F82E75D" w14:textId="77777777" w:rsidR="00E11B96" w:rsidRPr="00D80708" w:rsidRDefault="00AD79B9" w:rsidP="00E11B96">
      <w:pPr>
        <w:rPr>
          <w:rFonts w:asciiTheme="majorHAnsi" w:hAnsiTheme="majorHAnsi"/>
          <w:i/>
          <w:lang w:val="en-GB"/>
        </w:rPr>
      </w:pPr>
      <w:r w:rsidRPr="00D80708">
        <w:rPr>
          <w:rFonts w:asciiTheme="majorHAnsi" w:hAnsiTheme="majorHAnsi"/>
          <w:i/>
          <w:lang w:val="en-GB"/>
        </w:rPr>
        <w:t>E</w:t>
      </w:r>
      <w:r w:rsidR="0021269C" w:rsidRPr="00D80708">
        <w:rPr>
          <w:rFonts w:asciiTheme="majorHAnsi" w:hAnsiTheme="majorHAnsi"/>
          <w:i/>
          <w:lang w:val="en-GB"/>
        </w:rPr>
        <w:t>ligibility criteria</w:t>
      </w:r>
    </w:p>
    <w:p w14:paraId="0BF2D30C" w14:textId="77777777" w:rsidR="00AD79B9" w:rsidRPr="00D80708" w:rsidRDefault="00AD79B9" w:rsidP="00CA7DB6">
      <w:pPr>
        <w:jc w:val="both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The grants for micro projects may be awarded to local authorities, NSAs (associations, community groups, civic initiative groups, citizens’ groups and all kind o</w:t>
      </w:r>
      <w:r w:rsidR="00CA7DB6" w:rsidRPr="00D80708">
        <w:rPr>
          <w:rFonts w:asciiTheme="majorHAnsi" w:hAnsiTheme="majorHAnsi"/>
          <w:lang w:val="en-GB"/>
        </w:rPr>
        <w:t>f civil society organizations).</w:t>
      </w:r>
    </w:p>
    <w:p w14:paraId="7D973B5D" w14:textId="77777777" w:rsidR="00AD79B9" w:rsidRPr="00D80708" w:rsidRDefault="00AD79B9" w:rsidP="00D80708">
      <w:pPr>
        <w:shd w:val="clear" w:color="auto" w:fill="FFFF99"/>
        <w:rPr>
          <w:rFonts w:asciiTheme="majorHAnsi" w:hAnsiTheme="majorHAnsi"/>
          <w:b/>
          <w:lang w:val="en-GB"/>
        </w:rPr>
      </w:pPr>
      <w:r w:rsidRPr="00D80708">
        <w:rPr>
          <w:rFonts w:asciiTheme="majorHAnsi" w:hAnsiTheme="majorHAnsi"/>
          <w:b/>
          <w:lang w:val="en-GB"/>
        </w:rPr>
        <w:t>Eligible entities</w:t>
      </w:r>
    </w:p>
    <w:p w14:paraId="2DCD4DFB" w14:textId="77777777" w:rsidR="00AD79B9" w:rsidRPr="00D80708" w:rsidRDefault="00AD79B9" w:rsidP="00AD79B9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Applicants which may request a sub-grant</w:t>
      </w:r>
    </w:p>
    <w:p w14:paraId="38355EF1" w14:textId="77777777" w:rsidR="00AD79B9" w:rsidRPr="00D80708" w:rsidRDefault="00AD79B9" w:rsidP="00AD79B9">
      <w:pPr>
        <w:pStyle w:val="ListParagraph"/>
        <w:rPr>
          <w:rFonts w:asciiTheme="majorHAnsi" w:hAnsiTheme="majorHAnsi"/>
          <w:i/>
          <w:lang w:val="en-GB"/>
        </w:rPr>
      </w:pPr>
      <w:r w:rsidRPr="00D80708">
        <w:rPr>
          <w:rFonts w:asciiTheme="majorHAnsi" w:hAnsiTheme="majorHAnsi"/>
          <w:i/>
          <w:lang w:val="en-GB"/>
        </w:rPr>
        <w:t>In order to be eligible for a sub-grant, applicants must:</w:t>
      </w:r>
    </w:p>
    <w:p w14:paraId="72880556" w14:textId="77777777" w:rsidR="00AD79B9" w:rsidRPr="00D80708" w:rsidRDefault="00AD79B9" w:rsidP="00AD79B9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Be legal persons</w:t>
      </w:r>
    </w:p>
    <w:p w14:paraId="6741A083" w14:textId="77777777" w:rsidR="00AD79B9" w:rsidRPr="00D80708" w:rsidRDefault="00AD79B9" w:rsidP="00AD79B9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Be non-profit making</w:t>
      </w:r>
    </w:p>
    <w:p w14:paraId="5BB7AD8F" w14:textId="77777777" w:rsidR="00AD79B9" w:rsidRPr="00D80708" w:rsidRDefault="00AD79B9" w:rsidP="00AD79B9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Be a Non-State Actor or an association of NSAs, a Local Authority or an association of Las</w:t>
      </w:r>
    </w:p>
    <w:p w14:paraId="308A3D56" w14:textId="77777777" w:rsidR="00AD79B9" w:rsidRPr="00D80708" w:rsidRDefault="00AD79B9" w:rsidP="00AD79B9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Be established in a Member State of the EU</w:t>
      </w:r>
    </w:p>
    <w:p w14:paraId="425FE5C8" w14:textId="77777777" w:rsidR="00AD79B9" w:rsidRPr="00D80708" w:rsidRDefault="00AD79B9" w:rsidP="00AD79B9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Be directly responsible for the preparation and management of the action, not acting as an intermediary</w:t>
      </w:r>
    </w:p>
    <w:p w14:paraId="73FF05D1" w14:textId="77777777" w:rsidR="00AD79B9" w:rsidRPr="00D80708" w:rsidRDefault="00AD79B9" w:rsidP="00D80708">
      <w:pPr>
        <w:shd w:val="clear" w:color="auto" w:fill="FFFF99"/>
        <w:rPr>
          <w:rFonts w:asciiTheme="majorHAnsi" w:hAnsiTheme="majorHAnsi"/>
          <w:b/>
          <w:lang w:val="en-GB"/>
        </w:rPr>
      </w:pPr>
      <w:r w:rsidRPr="00D80708">
        <w:rPr>
          <w:rFonts w:asciiTheme="majorHAnsi" w:hAnsiTheme="majorHAnsi"/>
          <w:b/>
          <w:lang w:val="en-GB"/>
        </w:rPr>
        <w:t>Eligible Activities</w:t>
      </w:r>
    </w:p>
    <w:p w14:paraId="198F0CCD" w14:textId="2E8A3CED" w:rsidR="00AD79B9" w:rsidRPr="00D80708" w:rsidRDefault="00AD79B9" w:rsidP="00AD79B9">
      <w:pPr>
        <w:pStyle w:val="ListParagraph"/>
        <w:numPr>
          <w:ilvl w:val="0"/>
          <w:numId w:val="1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Actions for which a sub-grant may be awarded</w:t>
      </w:r>
      <w:r w:rsidR="00454264">
        <w:rPr>
          <w:rFonts w:asciiTheme="majorHAnsi" w:hAnsiTheme="majorHAnsi"/>
          <w:lang w:val="en-GB"/>
        </w:rPr>
        <w:t>:</w:t>
      </w:r>
    </w:p>
    <w:p w14:paraId="1FEAE147" w14:textId="60DBE928" w:rsidR="00AD79B9" w:rsidRPr="00D80708" w:rsidRDefault="00AD79B9" w:rsidP="00927800">
      <w:pPr>
        <w:ind w:left="360"/>
        <w:jc w:val="both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u w:val="single"/>
          <w:lang w:val="en-GB"/>
        </w:rPr>
        <w:t>Duration</w:t>
      </w:r>
      <w:r w:rsidRPr="00927800">
        <w:rPr>
          <w:rFonts w:asciiTheme="majorHAnsi" w:hAnsiTheme="majorHAnsi"/>
          <w:lang w:val="en-GB"/>
        </w:rPr>
        <w:t xml:space="preserve">: </w:t>
      </w:r>
      <w:r w:rsidRPr="00D80708">
        <w:rPr>
          <w:rFonts w:asciiTheme="majorHAnsi" w:hAnsiTheme="majorHAnsi"/>
          <w:lang w:val="en-GB"/>
        </w:rPr>
        <w:t xml:space="preserve">sub-granted </w:t>
      </w:r>
      <w:r w:rsidR="00416026">
        <w:rPr>
          <w:rFonts w:asciiTheme="majorHAnsi" w:hAnsiTheme="majorHAnsi"/>
          <w:lang w:val="en-GB"/>
        </w:rPr>
        <w:t xml:space="preserve">projects </w:t>
      </w:r>
      <w:r w:rsidRPr="00D80708">
        <w:rPr>
          <w:rFonts w:asciiTheme="majorHAnsi" w:hAnsiTheme="majorHAnsi"/>
          <w:lang w:val="en-GB"/>
        </w:rPr>
        <w:t>shall</w:t>
      </w:r>
      <w:r w:rsidR="00A85EF8">
        <w:rPr>
          <w:rFonts w:asciiTheme="majorHAnsi" w:hAnsiTheme="majorHAnsi"/>
          <w:lang w:val="en-GB"/>
        </w:rPr>
        <w:t xml:space="preserve"> not exceed 5</w:t>
      </w:r>
      <w:r w:rsidRPr="00D80708">
        <w:rPr>
          <w:rFonts w:asciiTheme="majorHAnsi" w:hAnsiTheme="majorHAnsi"/>
          <w:lang w:val="en-GB"/>
        </w:rPr>
        <w:t xml:space="preserve"> months</w:t>
      </w:r>
      <w:r w:rsidR="00416026">
        <w:rPr>
          <w:rFonts w:asciiTheme="majorHAnsi" w:hAnsiTheme="majorHAnsi"/>
          <w:lang w:val="en-GB"/>
        </w:rPr>
        <w:t xml:space="preserve">. All projects’ activities </w:t>
      </w:r>
      <w:r w:rsidR="00836136">
        <w:rPr>
          <w:rFonts w:asciiTheme="majorHAnsi" w:hAnsiTheme="majorHAnsi"/>
          <w:lang w:val="en-GB"/>
        </w:rPr>
        <w:t xml:space="preserve">must be implemented </w:t>
      </w:r>
      <w:r w:rsidR="00A85EF8">
        <w:rPr>
          <w:rFonts w:asciiTheme="majorHAnsi" w:hAnsiTheme="majorHAnsi"/>
          <w:lang w:val="en-GB"/>
        </w:rPr>
        <w:t xml:space="preserve">by </w:t>
      </w:r>
      <w:r w:rsidR="00464916">
        <w:rPr>
          <w:rFonts w:asciiTheme="majorHAnsi" w:hAnsiTheme="majorHAnsi"/>
          <w:lang w:val="en-GB"/>
        </w:rPr>
        <w:t xml:space="preserve">15 of September </w:t>
      </w:r>
      <w:r w:rsidR="00A85EF8">
        <w:rPr>
          <w:rFonts w:asciiTheme="majorHAnsi" w:hAnsiTheme="majorHAnsi"/>
          <w:lang w:val="en-GB"/>
        </w:rPr>
        <w:t>2017</w:t>
      </w:r>
      <w:r w:rsidR="00927800">
        <w:rPr>
          <w:rFonts w:asciiTheme="majorHAnsi" w:hAnsiTheme="majorHAnsi"/>
          <w:lang w:val="en-GB"/>
        </w:rPr>
        <w:t xml:space="preserve"> the latest</w:t>
      </w:r>
      <w:r w:rsidR="00A85EF8">
        <w:rPr>
          <w:rFonts w:asciiTheme="majorHAnsi" w:hAnsiTheme="majorHAnsi"/>
          <w:lang w:val="en-GB"/>
        </w:rPr>
        <w:t xml:space="preserve"> – reports of implement</w:t>
      </w:r>
      <w:r w:rsidR="00B57AB1">
        <w:rPr>
          <w:rFonts w:asciiTheme="majorHAnsi" w:hAnsiTheme="majorHAnsi"/>
          <w:lang w:val="en-GB"/>
        </w:rPr>
        <w:t>ation are expected to be submitt</w:t>
      </w:r>
      <w:r w:rsidR="00A85EF8">
        <w:rPr>
          <w:rFonts w:asciiTheme="majorHAnsi" w:hAnsiTheme="majorHAnsi"/>
          <w:lang w:val="en-GB"/>
        </w:rPr>
        <w:t xml:space="preserve">ed </w:t>
      </w:r>
      <w:r w:rsidR="00A85EF8" w:rsidRPr="00927800">
        <w:rPr>
          <w:rFonts w:asciiTheme="majorHAnsi" w:hAnsiTheme="majorHAnsi"/>
          <w:lang w:val="en-GB"/>
        </w:rPr>
        <w:t xml:space="preserve">by the </w:t>
      </w:r>
      <w:r w:rsidR="00927800" w:rsidRPr="00927800">
        <w:rPr>
          <w:rFonts w:asciiTheme="majorHAnsi" w:hAnsiTheme="majorHAnsi"/>
          <w:lang w:val="en-GB"/>
        </w:rPr>
        <w:t>30</w:t>
      </w:r>
      <w:r w:rsidR="00927800" w:rsidRPr="00927800">
        <w:rPr>
          <w:rFonts w:asciiTheme="majorHAnsi" w:hAnsiTheme="majorHAnsi"/>
          <w:vertAlign w:val="superscript"/>
          <w:lang w:val="en-GB"/>
        </w:rPr>
        <w:t>th</w:t>
      </w:r>
      <w:r w:rsidR="00927800" w:rsidRPr="00927800">
        <w:rPr>
          <w:rFonts w:asciiTheme="majorHAnsi" w:hAnsiTheme="majorHAnsi"/>
          <w:lang w:val="en-GB"/>
        </w:rPr>
        <w:t xml:space="preserve"> of September 2017</w:t>
      </w:r>
      <w:r w:rsidR="00B57AB1" w:rsidRPr="00927800">
        <w:rPr>
          <w:rFonts w:asciiTheme="majorHAnsi" w:hAnsiTheme="majorHAnsi"/>
          <w:lang w:val="en-GB"/>
        </w:rPr>
        <w:t>.</w:t>
      </w:r>
      <w:r w:rsidR="00B57AB1" w:rsidRPr="00FE1871">
        <w:rPr>
          <w:rFonts w:asciiTheme="majorHAnsi" w:hAnsiTheme="majorHAnsi"/>
          <w:lang w:val="en-GB"/>
        </w:rPr>
        <w:t xml:space="preserve"> </w:t>
      </w:r>
    </w:p>
    <w:p w14:paraId="10D11B3E" w14:textId="3D8B3920" w:rsidR="00AD79B9" w:rsidRPr="00D80708" w:rsidRDefault="00AD79B9" w:rsidP="003D23FA">
      <w:pPr>
        <w:ind w:left="360"/>
        <w:jc w:val="both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u w:val="single"/>
          <w:lang w:val="en-GB"/>
        </w:rPr>
        <w:t>Sector or themes</w:t>
      </w:r>
      <w:r w:rsidRPr="00D80708">
        <w:rPr>
          <w:rFonts w:asciiTheme="majorHAnsi" w:hAnsiTheme="majorHAnsi"/>
          <w:lang w:val="en-GB"/>
        </w:rPr>
        <w:t xml:space="preserve">: the sub-granted activities </w:t>
      </w:r>
      <w:r w:rsidRPr="00D80708">
        <w:rPr>
          <w:rFonts w:asciiTheme="majorHAnsi" w:hAnsiTheme="majorHAnsi"/>
          <w:u w:val="single"/>
          <w:lang w:val="en-GB"/>
        </w:rPr>
        <w:t>must be in line</w:t>
      </w:r>
      <w:r w:rsidRPr="00D80708">
        <w:rPr>
          <w:rFonts w:asciiTheme="majorHAnsi" w:hAnsiTheme="majorHAnsi"/>
          <w:lang w:val="en-GB"/>
        </w:rPr>
        <w:t xml:space="preserve"> with the objectives and the priorities of the present </w:t>
      </w:r>
      <w:r w:rsidR="00454264">
        <w:rPr>
          <w:rFonts w:asciiTheme="majorHAnsi" w:hAnsiTheme="majorHAnsi"/>
          <w:lang w:val="en-GB"/>
        </w:rPr>
        <w:t>call for proposals</w:t>
      </w:r>
      <w:r w:rsidRPr="00D80708">
        <w:rPr>
          <w:rFonts w:asciiTheme="majorHAnsi" w:hAnsiTheme="majorHAnsi"/>
          <w:lang w:val="en-GB"/>
        </w:rPr>
        <w:t xml:space="preserve"> and with the objecti</w:t>
      </w:r>
      <w:r w:rsidR="00065A6A" w:rsidRPr="00D80708">
        <w:rPr>
          <w:rFonts w:asciiTheme="majorHAnsi" w:hAnsiTheme="majorHAnsi"/>
          <w:lang w:val="en-GB"/>
        </w:rPr>
        <w:t>ve of the Programme “NSAs and LA</w:t>
      </w:r>
      <w:r w:rsidRPr="00D80708">
        <w:rPr>
          <w:rFonts w:asciiTheme="majorHAnsi" w:hAnsiTheme="majorHAnsi"/>
          <w:lang w:val="en-GB"/>
        </w:rPr>
        <w:t>s in development”, in particular with the DEAR approach</w:t>
      </w:r>
      <w:r w:rsidR="003D23FA" w:rsidRPr="00D80708">
        <w:rPr>
          <w:rFonts w:asciiTheme="majorHAnsi" w:hAnsiTheme="majorHAnsi"/>
          <w:lang w:val="en-GB"/>
        </w:rPr>
        <w:t>.</w:t>
      </w:r>
    </w:p>
    <w:p w14:paraId="410EC0B6" w14:textId="27F4D6A5" w:rsidR="00AD79B9" w:rsidRPr="003A6D64" w:rsidRDefault="00AD79B9" w:rsidP="00405A0A">
      <w:pPr>
        <w:ind w:left="360"/>
        <w:jc w:val="both"/>
        <w:rPr>
          <w:rFonts w:asciiTheme="majorHAnsi" w:hAnsiTheme="majorHAnsi"/>
          <w:lang w:val="en-GB"/>
        </w:rPr>
      </w:pPr>
      <w:r w:rsidRPr="00464916">
        <w:rPr>
          <w:rFonts w:asciiTheme="majorHAnsi" w:hAnsiTheme="majorHAnsi"/>
          <w:i/>
          <w:u w:val="single"/>
          <w:lang w:val="en-GB"/>
        </w:rPr>
        <w:t>Location</w:t>
      </w:r>
      <w:r w:rsidRPr="00464916">
        <w:rPr>
          <w:rFonts w:asciiTheme="majorHAnsi" w:hAnsiTheme="majorHAnsi"/>
          <w:i/>
          <w:lang w:val="en-GB"/>
        </w:rPr>
        <w:t xml:space="preserve">: activities must take place </w:t>
      </w:r>
      <w:r w:rsidRPr="003A6D64">
        <w:rPr>
          <w:rFonts w:asciiTheme="majorHAnsi" w:hAnsiTheme="majorHAnsi"/>
          <w:i/>
          <w:lang w:val="en-GB"/>
        </w:rPr>
        <w:t>in</w:t>
      </w:r>
      <w:r w:rsidR="00DA40E6" w:rsidRPr="003A6D64">
        <w:rPr>
          <w:rFonts w:asciiTheme="majorHAnsi" w:hAnsiTheme="majorHAnsi"/>
          <w:i/>
          <w:lang w:val="en-GB"/>
        </w:rPr>
        <w:t xml:space="preserve"> </w:t>
      </w:r>
      <w:r w:rsidR="003A6D64" w:rsidRPr="003A6D64">
        <w:rPr>
          <w:rFonts w:asciiTheme="majorHAnsi" w:hAnsiTheme="majorHAnsi"/>
          <w:i/>
          <w:lang w:val="en-GB"/>
        </w:rPr>
        <w:t>Croatia.</w:t>
      </w:r>
    </w:p>
    <w:p w14:paraId="25B0ABCF" w14:textId="77777777" w:rsidR="00AD79B9" w:rsidRPr="00D80708" w:rsidRDefault="00AD79B9" w:rsidP="00D80708">
      <w:pPr>
        <w:shd w:val="clear" w:color="auto" w:fill="FFFF99"/>
        <w:rPr>
          <w:rFonts w:asciiTheme="majorHAnsi" w:hAnsiTheme="majorHAnsi"/>
          <w:b/>
          <w:lang w:val="en-GB"/>
        </w:rPr>
      </w:pPr>
      <w:r w:rsidRPr="00D80708">
        <w:rPr>
          <w:rFonts w:asciiTheme="majorHAnsi" w:hAnsiTheme="majorHAnsi"/>
          <w:b/>
          <w:lang w:val="en-GB"/>
        </w:rPr>
        <w:t>Type of actions which may be taken into account</w:t>
      </w:r>
    </w:p>
    <w:p w14:paraId="05BBDB6D" w14:textId="77777777" w:rsidR="00AD79B9" w:rsidRPr="00D80708" w:rsidRDefault="001E5E8D" w:rsidP="001E5E8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u w:val="single"/>
          <w:lang w:val="en-GB"/>
        </w:rPr>
        <w:t>List of different types of activities which may be eligible for sub-grants (</w:t>
      </w:r>
      <w:r w:rsidRPr="00D80708">
        <w:rPr>
          <w:rFonts w:asciiTheme="majorHAnsi" w:hAnsiTheme="majorHAnsi"/>
          <w:lang w:val="en-GB"/>
        </w:rPr>
        <w:t>list not exhaustive):</w:t>
      </w:r>
    </w:p>
    <w:p w14:paraId="12DD930E" w14:textId="77777777" w:rsidR="001E5E8D" w:rsidRPr="00D80708" w:rsidRDefault="001E5E8D" w:rsidP="001E5E8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lang w:val="en-GB"/>
        </w:rPr>
      </w:pPr>
    </w:p>
    <w:p w14:paraId="595F4B3D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Exchange events</w:t>
      </w:r>
    </w:p>
    <w:p w14:paraId="37D6441E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Training events</w:t>
      </w:r>
    </w:p>
    <w:p w14:paraId="32000E63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Networking building activities</w:t>
      </w:r>
    </w:p>
    <w:p w14:paraId="4734BD7D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lastRenderedPageBreak/>
        <w:t>Information campaigns</w:t>
      </w:r>
    </w:p>
    <w:p w14:paraId="4D562FDD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 xml:space="preserve">Raising awareness activities </w:t>
      </w:r>
    </w:p>
    <w:p w14:paraId="7E7707C0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Exchange of good practices (</w:t>
      </w:r>
      <w:proofErr w:type="spellStart"/>
      <w:r w:rsidRPr="00D80708">
        <w:rPr>
          <w:rFonts w:asciiTheme="majorHAnsi" w:hAnsiTheme="majorHAnsi"/>
          <w:lang w:val="en-GB"/>
        </w:rPr>
        <w:t>e.g</w:t>
      </w:r>
      <w:proofErr w:type="spellEnd"/>
      <w:r w:rsidRPr="00D80708">
        <w:rPr>
          <w:rFonts w:asciiTheme="majorHAnsi" w:hAnsiTheme="majorHAnsi"/>
          <w:lang w:val="en-GB"/>
        </w:rPr>
        <w:t xml:space="preserve"> visits, meetings, </w:t>
      </w:r>
      <w:proofErr w:type="spellStart"/>
      <w:r w:rsidRPr="00D80708">
        <w:rPr>
          <w:rFonts w:asciiTheme="majorHAnsi" w:hAnsiTheme="majorHAnsi"/>
          <w:lang w:val="en-GB"/>
        </w:rPr>
        <w:t>etc</w:t>
      </w:r>
      <w:proofErr w:type="spellEnd"/>
      <w:r w:rsidRPr="00D80708">
        <w:rPr>
          <w:rFonts w:asciiTheme="majorHAnsi" w:hAnsiTheme="majorHAnsi"/>
          <w:lang w:val="en-GB"/>
        </w:rPr>
        <w:t>…)</w:t>
      </w:r>
    </w:p>
    <w:p w14:paraId="3771421E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Thematic seminars, workshops, exhibitions</w:t>
      </w:r>
    </w:p>
    <w:p w14:paraId="0F024BFF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Youth activities</w:t>
      </w:r>
    </w:p>
    <w:p w14:paraId="662A39F8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Working camps and other voluntary activities</w:t>
      </w:r>
    </w:p>
    <w:p w14:paraId="7CFED21B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 xml:space="preserve">Publications of manuals, leaflets, </w:t>
      </w:r>
      <w:proofErr w:type="spellStart"/>
      <w:r w:rsidRPr="00D80708">
        <w:rPr>
          <w:rFonts w:asciiTheme="majorHAnsi" w:hAnsiTheme="majorHAnsi"/>
          <w:lang w:val="en-GB"/>
        </w:rPr>
        <w:t>audiovisual</w:t>
      </w:r>
      <w:proofErr w:type="spellEnd"/>
      <w:r w:rsidRPr="00D80708">
        <w:rPr>
          <w:rFonts w:asciiTheme="majorHAnsi" w:hAnsiTheme="majorHAnsi"/>
          <w:lang w:val="en-GB"/>
        </w:rPr>
        <w:t xml:space="preserve"> productions</w:t>
      </w:r>
    </w:p>
    <w:p w14:paraId="56CF4F0B" w14:textId="77777777" w:rsidR="001E5E8D" w:rsidRPr="00D80708" w:rsidRDefault="001E5E8D" w:rsidP="001E5E8D">
      <w:pPr>
        <w:pStyle w:val="ListBullet"/>
        <w:numPr>
          <w:ilvl w:val="0"/>
          <w:numId w:val="4"/>
        </w:numPr>
        <w:rPr>
          <w:rFonts w:asciiTheme="majorHAnsi" w:hAnsiTheme="majorHAnsi"/>
          <w:lang w:val="en-GB"/>
        </w:rPr>
      </w:pPr>
      <w:r w:rsidRPr="00D80708">
        <w:rPr>
          <w:rFonts w:asciiTheme="majorHAnsi" w:hAnsiTheme="majorHAnsi"/>
          <w:lang w:val="en-GB"/>
        </w:rPr>
        <w:t>Creative and cultural activities</w:t>
      </w:r>
    </w:p>
    <w:p w14:paraId="6A182EF0" w14:textId="77777777" w:rsidR="001E5E8D" w:rsidRPr="00D80708" w:rsidRDefault="001E5E8D" w:rsidP="001E5E8D">
      <w:pPr>
        <w:pStyle w:val="ListBullet"/>
        <w:numPr>
          <w:ilvl w:val="0"/>
          <w:numId w:val="0"/>
        </w:numPr>
        <w:rPr>
          <w:rFonts w:asciiTheme="majorHAnsi" w:hAnsiTheme="majorHAnsi"/>
          <w:lang w:val="en-GB"/>
        </w:rPr>
      </w:pPr>
    </w:p>
    <w:p w14:paraId="3CCD9424" w14:textId="77777777" w:rsidR="00D80708" w:rsidRPr="00D80708" w:rsidRDefault="00D80708" w:rsidP="00D80708">
      <w:pPr>
        <w:pStyle w:val="Standard"/>
        <w:shd w:val="clear" w:color="auto" w:fill="FFFF99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  <w:u w:val="single"/>
        </w:rPr>
        <w:t>The following types of action are ineligible</w:t>
      </w:r>
      <w:r w:rsidRPr="00D80708">
        <w:rPr>
          <w:rFonts w:asciiTheme="majorHAnsi" w:hAnsiTheme="majorHAnsi"/>
        </w:rPr>
        <w:t>:</w:t>
      </w:r>
    </w:p>
    <w:p w14:paraId="35B8F295" w14:textId="77777777" w:rsidR="00D80708" w:rsidRPr="00D80708" w:rsidRDefault="00D80708" w:rsidP="00D80708">
      <w:pPr>
        <w:pStyle w:val="Standard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concerned only or mainly with individual sponsorships for participation in workshops, seminars, conferences, congresses;</w:t>
      </w:r>
    </w:p>
    <w:p w14:paraId="133F1F3D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concerned only or mainly with individual scholarships for studies or training courses;</w:t>
      </w:r>
    </w:p>
    <w:p w14:paraId="779E2A38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in the formal education sector, except in special circumstances;</w:t>
      </w:r>
    </w:p>
    <w:p w14:paraId="09C695FE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D80708">
        <w:rPr>
          <w:rFonts w:asciiTheme="majorHAnsi" w:hAnsiTheme="majorHAnsi"/>
        </w:rPr>
        <w:t>one-off</w:t>
      </w:r>
      <w:proofErr w:type="gramEnd"/>
      <w:r w:rsidRPr="00D80708">
        <w:rPr>
          <w:rFonts w:asciiTheme="majorHAnsi" w:hAnsiTheme="majorHAnsi"/>
        </w:rPr>
        <w:t xml:space="preserve"> conferences: conferences can only be funded if they form part of a wider range of activities to be implemented in the life-time of the action. For these purposes, preparatory activities for a conference and the publication of the proceedings of the conference do not, in themselves, constitute such "wider activities";</w:t>
      </w:r>
    </w:p>
    <w:p w14:paraId="2274D744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intended to raise funds or promote the visibility of the applicant or its partner(s);</w:t>
      </w:r>
    </w:p>
    <w:p w14:paraId="777302B3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consisting mainly of research or of study;</w:t>
      </w:r>
    </w:p>
    <w:p w14:paraId="123B734F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which consist exclusively or primarily in capital expenditure, e.g. land, buildings, equipment and vehicles, except in special circumstances;</w:t>
      </w:r>
    </w:p>
    <w:p w14:paraId="0DC34EEE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which discriminate against individuals or groups of people on grounds of their gender, sexual orientation, religious beliefs or lack of them, or their ethnic origin;</w:t>
      </w:r>
    </w:p>
    <w:p w14:paraId="18B7C0E7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actions supporting political parties;</w:t>
      </w:r>
    </w:p>
    <w:p w14:paraId="5C70197C" w14:textId="77777777" w:rsidR="00D80708" w:rsidRPr="00D80708" w:rsidRDefault="00D80708" w:rsidP="00D80708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D80708">
        <w:rPr>
          <w:rFonts w:asciiTheme="majorHAnsi" w:hAnsiTheme="majorHAnsi"/>
        </w:rPr>
        <w:t>actions</w:t>
      </w:r>
      <w:proofErr w:type="gramEnd"/>
      <w:r w:rsidRPr="00D80708">
        <w:rPr>
          <w:rFonts w:asciiTheme="majorHAnsi" w:hAnsiTheme="majorHAnsi"/>
        </w:rPr>
        <w:t xml:space="preserve"> including </w:t>
      </w:r>
      <w:proofErr w:type="spellStart"/>
      <w:r w:rsidRPr="00D80708">
        <w:rPr>
          <w:rFonts w:asciiTheme="majorHAnsi" w:hAnsiTheme="majorHAnsi"/>
        </w:rPr>
        <w:t>proselytism</w:t>
      </w:r>
      <w:proofErr w:type="spellEnd"/>
      <w:r w:rsidRPr="00D80708">
        <w:rPr>
          <w:rFonts w:asciiTheme="majorHAnsi" w:hAnsiTheme="majorHAnsi" w:cs="TimesNewRoman"/>
        </w:rPr>
        <w:t>.</w:t>
      </w:r>
    </w:p>
    <w:p w14:paraId="538E9365" w14:textId="77777777" w:rsidR="00D80708" w:rsidRPr="00D80708" w:rsidRDefault="00D80708" w:rsidP="001E5E8D">
      <w:pPr>
        <w:pStyle w:val="ListBullet"/>
        <w:numPr>
          <w:ilvl w:val="0"/>
          <w:numId w:val="0"/>
        </w:numPr>
        <w:rPr>
          <w:rFonts w:asciiTheme="majorHAnsi" w:hAnsiTheme="majorHAnsi"/>
          <w:lang w:val="en-GB"/>
        </w:rPr>
      </w:pPr>
    </w:p>
    <w:p w14:paraId="1FB9725E" w14:textId="77777777" w:rsidR="00D80708" w:rsidRPr="00D80708" w:rsidRDefault="00D80708" w:rsidP="001E5E8D">
      <w:pPr>
        <w:pStyle w:val="ListBullet"/>
        <w:numPr>
          <w:ilvl w:val="0"/>
          <w:numId w:val="0"/>
        </w:numPr>
        <w:rPr>
          <w:rFonts w:asciiTheme="majorHAnsi" w:hAnsiTheme="majorHAnsi"/>
          <w:lang w:val="en-GB"/>
        </w:rPr>
      </w:pPr>
    </w:p>
    <w:p w14:paraId="28655079" w14:textId="77777777" w:rsidR="00D80708" w:rsidRPr="00D80708" w:rsidRDefault="00765FE4" w:rsidP="00D80708">
      <w:pPr>
        <w:pStyle w:val="ListBullet"/>
        <w:numPr>
          <w:ilvl w:val="0"/>
          <w:numId w:val="0"/>
        </w:numPr>
        <w:shd w:val="clear" w:color="auto" w:fill="FFFF99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Selection c</w:t>
      </w:r>
      <w:r w:rsidR="00D80708" w:rsidRPr="00D80708">
        <w:rPr>
          <w:rFonts w:asciiTheme="majorHAnsi" w:hAnsiTheme="majorHAnsi"/>
          <w:lang w:val="en-GB"/>
        </w:rPr>
        <w:t xml:space="preserve">riteria </w:t>
      </w:r>
    </w:p>
    <w:p w14:paraId="51CD0101" w14:textId="77777777" w:rsidR="00A24584" w:rsidRDefault="00D80708" w:rsidP="00D80708">
      <w:pPr>
        <w:pStyle w:val="Standard"/>
        <w:tabs>
          <w:tab w:val="left" w:pos="0"/>
        </w:tabs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The exact amount of financial support for each 3</w:t>
      </w:r>
      <w:r w:rsidRPr="00D80708">
        <w:rPr>
          <w:rFonts w:asciiTheme="majorHAnsi" w:hAnsiTheme="majorHAnsi"/>
          <w:vertAlign w:val="superscript"/>
        </w:rPr>
        <w:t>rd</w:t>
      </w:r>
      <w:r w:rsidRPr="00D80708">
        <w:rPr>
          <w:rFonts w:asciiTheme="majorHAnsi" w:hAnsiTheme="majorHAnsi"/>
        </w:rPr>
        <w:t xml:space="preserve"> entity will be decided </w:t>
      </w:r>
      <w:r w:rsidR="00765FE4">
        <w:rPr>
          <w:rFonts w:asciiTheme="majorHAnsi" w:hAnsiTheme="majorHAnsi"/>
        </w:rPr>
        <w:t xml:space="preserve">by a Selection Committee </w:t>
      </w:r>
      <w:r w:rsidRPr="00D80708">
        <w:rPr>
          <w:rFonts w:asciiTheme="majorHAnsi" w:hAnsiTheme="majorHAnsi"/>
        </w:rPr>
        <w:t>following the principles of sound financial management, namely value fo</w:t>
      </w:r>
      <w:r w:rsidR="00765FE4">
        <w:rPr>
          <w:rFonts w:asciiTheme="majorHAnsi" w:hAnsiTheme="majorHAnsi"/>
        </w:rPr>
        <w:t xml:space="preserve">r money and costs/effectiveness. Selection process will take into account, among others, the relevance of the project proposal </w:t>
      </w:r>
      <w:r w:rsidR="004E5A3F">
        <w:rPr>
          <w:rFonts w:asciiTheme="majorHAnsi" w:hAnsiTheme="majorHAnsi"/>
        </w:rPr>
        <w:t>with reference to</w:t>
      </w:r>
      <w:r w:rsidR="00765FE4">
        <w:rPr>
          <w:rFonts w:asciiTheme="majorHAnsi" w:hAnsiTheme="majorHAnsi"/>
        </w:rPr>
        <w:t xml:space="preserve"> the LADDER objectives, the outreach capacity, the originality &amp; innovative approach, its relevance for the local community, the capacity to increase citizens’ awareness on global development issues</w:t>
      </w:r>
      <w:r w:rsidR="006B36CA">
        <w:rPr>
          <w:rFonts w:asciiTheme="majorHAnsi" w:hAnsiTheme="majorHAnsi"/>
        </w:rPr>
        <w:t xml:space="preserve"> and the involvement of other actors, NGOs, Local Authorities</w:t>
      </w:r>
      <w:r w:rsidR="00F7635B">
        <w:rPr>
          <w:rFonts w:asciiTheme="majorHAnsi" w:hAnsiTheme="majorHAnsi"/>
        </w:rPr>
        <w:t>. Only selected project proposals will be informed.</w:t>
      </w:r>
      <w:r w:rsidR="00B53279">
        <w:rPr>
          <w:rFonts w:asciiTheme="majorHAnsi" w:hAnsiTheme="majorHAnsi"/>
        </w:rPr>
        <w:t xml:space="preserve"> </w:t>
      </w:r>
    </w:p>
    <w:p w14:paraId="40AC7568" w14:textId="16B67952" w:rsidR="00B53279" w:rsidRPr="00D80708" w:rsidRDefault="00B53279" w:rsidP="00D80708">
      <w:pPr>
        <w:pStyle w:val="Standard"/>
        <w:tabs>
          <w:tab w:val="left" w:pos="0"/>
        </w:tabs>
        <w:jc w:val="both"/>
        <w:rPr>
          <w:rFonts w:asciiTheme="majorHAnsi" w:hAnsiTheme="majorHAnsi"/>
        </w:rPr>
      </w:pPr>
      <w:r w:rsidRPr="00B53279">
        <w:rPr>
          <w:rFonts w:asciiTheme="majorHAnsi" w:hAnsiTheme="majorHAnsi"/>
        </w:rPr>
        <w:t>The Selection Committee will have the final decision on the selection of the re-granted projects and its verdict will be un</w:t>
      </w:r>
      <w:r w:rsidR="00F9204E">
        <w:rPr>
          <w:rFonts w:asciiTheme="majorHAnsi" w:hAnsiTheme="majorHAnsi"/>
        </w:rPr>
        <w:t>-</w:t>
      </w:r>
      <w:r w:rsidRPr="00B53279">
        <w:rPr>
          <w:rFonts w:asciiTheme="majorHAnsi" w:hAnsiTheme="majorHAnsi"/>
        </w:rPr>
        <w:t>appealable.</w:t>
      </w:r>
      <w:r w:rsidR="006050C8">
        <w:rPr>
          <w:rFonts w:asciiTheme="majorHAnsi" w:hAnsiTheme="majorHAnsi"/>
        </w:rPr>
        <w:t xml:space="preserve"> </w:t>
      </w:r>
      <w:r w:rsidR="00C24D78">
        <w:rPr>
          <w:rFonts w:asciiTheme="majorHAnsi" w:hAnsiTheme="majorHAnsi"/>
        </w:rPr>
        <w:t>The results will be published on t</w:t>
      </w:r>
      <w:r w:rsidR="001853DC">
        <w:rPr>
          <w:rFonts w:asciiTheme="majorHAnsi" w:hAnsiTheme="majorHAnsi"/>
        </w:rPr>
        <w:t xml:space="preserve">he website of the project and Co-applicant’s </w:t>
      </w:r>
      <w:r w:rsidR="00B57AB1">
        <w:rPr>
          <w:rFonts w:asciiTheme="majorHAnsi" w:hAnsiTheme="majorHAnsi"/>
        </w:rPr>
        <w:t>website, and only winning proposals will be contacted.</w:t>
      </w:r>
    </w:p>
    <w:p w14:paraId="3320DBCB" w14:textId="77777777" w:rsidR="00D80708" w:rsidRPr="00D80708" w:rsidRDefault="00D80708" w:rsidP="001E5E8D">
      <w:pPr>
        <w:pStyle w:val="ListBullet"/>
        <w:numPr>
          <w:ilvl w:val="0"/>
          <w:numId w:val="0"/>
        </w:numPr>
        <w:rPr>
          <w:rFonts w:asciiTheme="majorHAnsi" w:hAnsiTheme="majorHAnsi"/>
          <w:lang w:val="en-GB"/>
        </w:rPr>
      </w:pPr>
    </w:p>
    <w:p w14:paraId="0E9CB964" w14:textId="77777777" w:rsidR="001E5E8D" w:rsidRPr="00D80708" w:rsidRDefault="00D80708" w:rsidP="00D80708">
      <w:pPr>
        <w:pStyle w:val="ListBullet"/>
        <w:numPr>
          <w:ilvl w:val="0"/>
          <w:numId w:val="0"/>
        </w:numPr>
        <w:shd w:val="clear" w:color="auto" w:fill="FFFF99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Budget</w:t>
      </w:r>
    </w:p>
    <w:p w14:paraId="5B0CC7AA" w14:textId="34498069" w:rsidR="00454264" w:rsidRDefault="00D80708" w:rsidP="00D80708">
      <w:pPr>
        <w:pStyle w:val="Standard"/>
        <w:tabs>
          <w:tab w:val="left" w:pos="0"/>
        </w:tabs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 xml:space="preserve">The minimum </w:t>
      </w:r>
      <w:r w:rsidR="006E4A45">
        <w:rPr>
          <w:rFonts w:asciiTheme="majorHAnsi" w:hAnsiTheme="majorHAnsi"/>
        </w:rPr>
        <w:t xml:space="preserve">and maximum financial support that the LADDER project can provide to the selected projects is </w:t>
      </w:r>
      <w:r w:rsidR="001B21EA">
        <w:rPr>
          <w:rFonts w:asciiTheme="majorHAnsi" w:hAnsiTheme="majorHAnsi"/>
        </w:rPr>
        <w:t xml:space="preserve">from </w:t>
      </w:r>
      <w:r w:rsidR="009678BD">
        <w:rPr>
          <w:rFonts w:asciiTheme="majorHAnsi" w:hAnsiTheme="majorHAnsi"/>
        </w:rPr>
        <w:t>2</w:t>
      </w:r>
      <w:r w:rsidR="006E4A45">
        <w:rPr>
          <w:rFonts w:asciiTheme="majorHAnsi" w:hAnsiTheme="majorHAnsi"/>
        </w:rPr>
        <w:t xml:space="preserve">.000€ </w:t>
      </w:r>
      <w:r w:rsidR="001B21EA">
        <w:rPr>
          <w:rFonts w:asciiTheme="majorHAnsi" w:hAnsiTheme="majorHAnsi"/>
        </w:rPr>
        <w:t xml:space="preserve">to </w:t>
      </w:r>
      <w:r w:rsidR="006E4A45">
        <w:rPr>
          <w:rFonts w:asciiTheme="majorHAnsi" w:hAnsiTheme="majorHAnsi"/>
        </w:rPr>
        <w:t>6.000 €.</w:t>
      </w:r>
      <w:r w:rsidR="001B21EA">
        <w:rPr>
          <w:rFonts w:asciiTheme="majorHAnsi" w:hAnsiTheme="majorHAnsi"/>
        </w:rPr>
        <w:t xml:space="preserve"> The total budget of a proposal can exceed 6000€, but the remaining part will be covered by the beneficiary (co-funding).</w:t>
      </w:r>
    </w:p>
    <w:p w14:paraId="2D80DF1C" w14:textId="4356ECBA" w:rsidR="00D80708" w:rsidRPr="00D80708" w:rsidRDefault="006E4A45" w:rsidP="003A6D64">
      <w:pPr>
        <w:pStyle w:val="Standard"/>
        <w:tabs>
          <w:tab w:val="left" w:pos="0"/>
        </w:tabs>
        <w:jc w:val="both"/>
        <w:rPr>
          <w:rFonts w:asciiTheme="majorHAnsi" w:hAnsiTheme="majorHAnsi"/>
        </w:rPr>
      </w:pPr>
      <w:r w:rsidRPr="003A6D64">
        <w:rPr>
          <w:rFonts w:asciiTheme="majorHAnsi" w:hAnsiTheme="majorHAnsi"/>
        </w:rPr>
        <w:t xml:space="preserve">The re-granting scheme is intended to </w:t>
      </w:r>
      <w:r w:rsidR="003A6D64" w:rsidRPr="003A6D64">
        <w:rPr>
          <w:rFonts w:asciiTheme="majorHAnsi" w:hAnsiTheme="majorHAnsi"/>
        </w:rPr>
        <w:t xml:space="preserve">fully </w:t>
      </w:r>
      <w:r w:rsidRPr="003A6D64">
        <w:rPr>
          <w:rFonts w:asciiTheme="majorHAnsi" w:hAnsiTheme="majorHAnsi"/>
        </w:rPr>
        <w:t xml:space="preserve">support selected projects. </w:t>
      </w:r>
    </w:p>
    <w:p w14:paraId="7B9E0CD5" w14:textId="77777777" w:rsidR="00D80708" w:rsidRDefault="00D80708" w:rsidP="00D80708">
      <w:pPr>
        <w:pStyle w:val="Standard"/>
        <w:spacing w:after="0" w:line="240" w:lineRule="auto"/>
        <w:jc w:val="both"/>
        <w:rPr>
          <w:rFonts w:asciiTheme="majorHAnsi" w:eastAsiaTheme="minorHAnsi" w:hAnsiTheme="majorHAnsi" w:cstheme="minorBidi"/>
          <w:kern w:val="0"/>
        </w:rPr>
      </w:pPr>
      <w:bookmarkStart w:id="0" w:name="_GoBack"/>
      <w:bookmarkEnd w:id="0"/>
    </w:p>
    <w:p w14:paraId="795F32D3" w14:textId="77777777" w:rsidR="005A430D" w:rsidRDefault="005A430D" w:rsidP="005A430D">
      <w:pPr>
        <w:pStyle w:val="Standard"/>
        <w:shd w:val="clear" w:color="auto" w:fill="FFFF99"/>
        <w:spacing w:after="0" w:line="240" w:lineRule="auto"/>
        <w:jc w:val="both"/>
        <w:rPr>
          <w:rFonts w:asciiTheme="majorHAnsi" w:eastAsiaTheme="minorHAnsi" w:hAnsiTheme="majorHAnsi" w:cstheme="minorBidi"/>
          <w:kern w:val="0"/>
        </w:rPr>
      </w:pPr>
      <w:r>
        <w:rPr>
          <w:rFonts w:asciiTheme="majorHAnsi" w:eastAsiaTheme="minorHAnsi" w:hAnsiTheme="majorHAnsi" w:cstheme="minorBidi"/>
          <w:kern w:val="0"/>
        </w:rPr>
        <w:lastRenderedPageBreak/>
        <w:t>Deadline for submission</w:t>
      </w:r>
    </w:p>
    <w:p w14:paraId="542DB4C6" w14:textId="61671CD3" w:rsidR="005A430D" w:rsidRDefault="005A430D" w:rsidP="00D80708">
      <w:pPr>
        <w:pStyle w:val="Standard"/>
        <w:spacing w:after="0" w:line="240" w:lineRule="auto"/>
        <w:jc w:val="both"/>
        <w:rPr>
          <w:rFonts w:asciiTheme="majorHAnsi" w:eastAsiaTheme="minorHAnsi" w:hAnsiTheme="majorHAnsi" w:cstheme="minorBidi"/>
          <w:kern w:val="0"/>
        </w:rPr>
      </w:pPr>
      <w:r>
        <w:rPr>
          <w:rFonts w:asciiTheme="majorHAnsi" w:eastAsiaTheme="minorHAnsi" w:hAnsiTheme="majorHAnsi" w:cstheme="minorBidi"/>
          <w:kern w:val="0"/>
        </w:rPr>
        <w:t xml:space="preserve">Proposal </w:t>
      </w:r>
      <w:r w:rsidR="00B57AB1">
        <w:rPr>
          <w:rFonts w:asciiTheme="majorHAnsi" w:eastAsiaTheme="minorHAnsi" w:hAnsiTheme="majorHAnsi" w:cstheme="minorBidi"/>
          <w:kern w:val="0"/>
        </w:rPr>
        <w:t xml:space="preserve">(application form &amp; budget duly filled in and signed) </w:t>
      </w:r>
      <w:r>
        <w:rPr>
          <w:rFonts w:asciiTheme="majorHAnsi" w:eastAsiaTheme="minorHAnsi" w:hAnsiTheme="majorHAnsi" w:cstheme="minorBidi"/>
          <w:kern w:val="0"/>
        </w:rPr>
        <w:t xml:space="preserve">must be submitted </w:t>
      </w:r>
      <w:r w:rsidR="00B57AB1">
        <w:rPr>
          <w:rFonts w:asciiTheme="majorHAnsi" w:eastAsiaTheme="minorHAnsi" w:hAnsiTheme="majorHAnsi" w:cstheme="minorBidi"/>
          <w:kern w:val="0"/>
        </w:rPr>
        <w:t>30</w:t>
      </w:r>
      <w:r>
        <w:rPr>
          <w:rFonts w:asciiTheme="majorHAnsi" w:eastAsiaTheme="minorHAnsi" w:hAnsiTheme="majorHAnsi" w:cstheme="minorBidi"/>
          <w:kern w:val="0"/>
        </w:rPr>
        <w:t xml:space="preserve"> days (calendar) following the date of publication of this current call for proposals.</w:t>
      </w:r>
    </w:p>
    <w:p w14:paraId="787CEDF6" w14:textId="77777777" w:rsidR="005A430D" w:rsidRPr="00D80708" w:rsidRDefault="005A430D" w:rsidP="00D80708">
      <w:pPr>
        <w:pStyle w:val="Standard"/>
        <w:spacing w:after="0" w:line="240" w:lineRule="auto"/>
        <w:jc w:val="both"/>
        <w:rPr>
          <w:rFonts w:asciiTheme="majorHAnsi" w:eastAsiaTheme="minorHAnsi" w:hAnsiTheme="majorHAnsi" w:cstheme="minorBidi"/>
          <w:kern w:val="0"/>
        </w:rPr>
      </w:pPr>
    </w:p>
    <w:p w14:paraId="6BC1F4FE" w14:textId="77777777" w:rsidR="00D80708" w:rsidRPr="00D80708" w:rsidRDefault="00D80708" w:rsidP="00D80708">
      <w:pPr>
        <w:pStyle w:val="Standard"/>
        <w:shd w:val="clear" w:color="auto" w:fill="FFFF99"/>
        <w:spacing w:after="0" w:line="240" w:lineRule="auto"/>
        <w:jc w:val="both"/>
        <w:rPr>
          <w:rFonts w:asciiTheme="majorHAnsi" w:hAnsiTheme="majorHAnsi"/>
        </w:rPr>
      </w:pPr>
      <w:r w:rsidRPr="00D80708">
        <w:rPr>
          <w:rFonts w:asciiTheme="majorHAnsi" w:hAnsiTheme="majorHAnsi"/>
        </w:rPr>
        <w:t>Reporting</w:t>
      </w:r>
    </w:p>
    <w:p w14:paraId="0AE0B395" w14:textId="77777777" w:rsidR="00D80708" w:rsidRPr="00D80708" w:rsidRDefault="007F56C4" w:rsidP="00D80708">
      <w:pPr>
        <w:pStyle w:val="Standard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beneficiaries</w:t>
      </w:r>
      <w:r w:rsidR="00D80708" w:rsidRPr="00D8070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will </w:t>
      </w:r>
      <w:r w:rsidR="00D80708" w:rsidRPr="00D80708">
        <w:rPr>
          <w:rFonts w:asciiTheme="majorHAnsi" w:hAnsiTheme="majorHAnsi"/>
        </w:rPr>
        <w:t>provide the necessary reports (narrative and financial</w:t>
      </w:r>
      <w:r>
        <w:rPr>
          <w:rFonts w:asciiTheme="majorHAnsi" w:hAnsiTheme="majorHAnsi"/>
        </w:rPr>
        <w:t xml:space="preserve"> reports accompanied by the justificatory documents</w:t>
      </w:r>
      <w:r w:rsidR="00D80708" w:rsidRPr="00D80708">
        <w:rPr>
          <w:rFonts w:asciiTheme="majorHAnsi" w:hAnsiTheme="majorHAnsi"/>
        </w:rPr>
        <w:t xml:space="preserve">), using the templates </w:t>
      </w:r>
      <w:r>
        <w:rPr>
          <w:rFonts w:asciiTheme="majorHAnsi" w:hAnsiTheme="majorHAnsi"/>
        </w:rPr>
        <w:t>provided</w:t>
      </w:r>
      <w:r w:rsidR="00D80708" w:rsidRPr="00D80708">
        <w:rPr>
          <w:rFonts w:asciiTheme="majorHAnsi" w:hAnsiTheme="majorHAnsi"/>
        </w:rPr>
        <w:t xml:space="preserve">, including photos/pictures and its outreach (online links, publications </w:t>
      </w:r>
      <w:proofErr w:type="spellStart"/>
      <w:r w:rsidR="00D80708" w:rsidRPr="00D80708">
        <w:rPr>
          <w:rFonts w:asciiTheme="majorHAnsi" w:hAnsiTheme="majorHAnsi"/>
        </w:rPr>
        <w:t>etc</w:t>
      </w:r>
      <w:proofErr w:type="spellEnd"/>
      <w:r w:rsidR="00D80708" w:rsidRPr="00D80708">
        <w:rPr>
          <w:rFonts w:asciiTheme="majorHAnsi" w:hAnsiTheme="majorHAnsi"/>
        </w:rPr>
        <w:t>).</w:t>
      </w:r>
    </w:p>
    <w:p w14:paraId="6955FF9E" w14:textId="77777777" w:rsidR="00D80708" w:rsidRPr="00D80708" w:rsidRDefault="00D80708" w:rsidP="00D80708">
      <w:pPr>
        <w:shd w:val="clear" w:color="auto" w:fill="FFFF99"/>
        <w:suppressAutoHyphens/>
        <w:autoSpaceDN w:val="0"/>
        <w:textAlignment w:val="baseline"/>
        <w:rPr>
          <w:rFonts w:asciiTheme="majorHAnsi" w:hAnsiTheme="majorHAnsi" w:cs="Arial"/>
        </w:rPr>
      </w:pPr>
      <w:r w:rsidRPr="00D80708">
        <w:rPr>
          <w:rFonts w:asciiTheme="majorHAnsi" w:hAnsiTheme="majorHAnsi" w:cs="Arial"/>
        </w:rPr>
        <w:t xml:space="preserve">Communication </w:t>
      </w:r>
      <w:r>
        <w:rPr>
          <w:rFonts w:asciiTheme="majorHAnsi" w:hAnsiTheme="majorHAnsi" w:cs="Arial"/>
        </w:rPr>
        <w:t xml:space="preserve">&amp; </w:t>
      </w:r>
      <w:r w:rsidRPr="00D80708">
        <w:rPr>
          <w:rFonts w:asciiTheme="majorHAnsi" w:hAnsiTheme="majorHAnsi" w:cs="Arial"/>
        </w:rPr>
        <w:t>visibility</w:t>
      </w:r>
    </w:p>
    <w:p w14:paraId="233C3BD9" w14:textId="77777777" w:rsidR="00D80708" w:rsidRPr="00D80708" w:rsidRDefault="00D80708" w:rsidP="00D80708">
      <w:pPr>
        <w:pStyle w:val="Standard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selected</w:t>
      </w:r>
      <w:r w:rsidRPr="00D80708">
        <w:rPr>
          <w:rFonts w:asciiTheme="majorHAnsi" w:hAnsiTheme="majorHAnsi" w:cs="Arial"/>
        </w:rPr>
        <w:t xml:space="preserve"> re-granted projects </w:t>
      </w:r>
      <w:r>
        <w:rPr>
          <w:rFonts w:asciiTheme="majorHAnsi" w:hAnsiTheme="majorHAnsi" w:cs="Arial"/>
        </w:rPr>
        <w:t xml:space="preserve">must </w:t>
      </w:r>
      <w:r w:rsidRPr="00D80708">
        <w:rPr>
          <w:rFonts w:asciiTheme="majorHAnsi" w:hAnsiTheme="majorHAnsi" w:cs="Arial"/>
        </w:rPr>
        <w:t xml:space="preserve">fully respect the visibility and communication </w:t>
      </w:r>
      <w:r>
        <w:rPr>
          <w:rFonts w:asciiTheme="majorHAnsi" w:hAnsiTheme="majorHAnsi" w:cs="Arial"/>
        </w:rPr>
        <w:t>requirements related to the LADDER project</w:t>
      </w:r>
      <w:r w:rsidRPr="00D80708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including the logos of the project LADDER, of ALDA and of the EU (+ the reference “with the financial support of the EU”</w:t>
      </w:r>
      <w:r w:rsidR="00765FE4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 xml:space="preserve"> in all </w:t>
      </w:r>
      <w:r w:rsidRPr="00D80708">
        <w:rPr>
          <w:rFonts w:asciiTheme="majorHAnsi" w:hAnsiTheme="majorHAnsi" w:cs="Arial"/>
        </w:rPr>
        <w:t xml:space="preserve">publications, </w:t>
      </w:r>
      <w:r>
        <w:rPr>
          <w:rFonts w:asciiTheme="majorHAnsi" w:hAnsiTheme="majorHAnsi" w:cs="Arial"/>
        </w:rPr>
        <w:t xml:space="preserve">references, documents, news </w:t>
      </w:r>
      <w:r w:rsidRPr="00D80708">
        <w:rPr>
          <w:rFonts w:asciiTheme="majorHAnsi" w:hAnsiTheme="majorHAnsi" w:cs="Arial"/>
        </w:rPr>
        <w:t xml:space="preserve">and any </w:t>
      </w:r>
      <w:r>
        <w:rPr>
          <w:rFonts w:asciiTheme="majorHAnsi" w:hAnsiTheme="majorHAnsi" w:cs="Arial"/>
        </w:rPr>
        <w:t xml:space="preserve">other </w:t>
      </w:r>
      <w:r w:rsidRPr="00D80708">
        <w:rPr>
          <w:rFonts w:asciiTheme="majorHAnsi" w:hAnsiTheme="majorHAnsi" w:cs="Arial"/>
        </w:rPr>
        <w:t xml:space="preserve">visibility and communication action regarding the project, in line with </w:t>
      </w:r>
      <w:r w:rsidRPr="00D80708">
        <w:rPr>
          <w:rFonts w:asciiTheme="majorHAnsi" w:hAnsiTheme="majorHAnsi" w:cs="Arial"/>
          <w:lang w:val="en-US"/>
        </w:rPr>
        <w:t xml:space="preserve">the </w:t>
      </w:r>
      <w:hyperlink r:id="rId10" w:history="1">
        <w:r w:rsidRPr="00D80708">
          <w:rPr>
            <w:rFonts w:asciiTheme="majorHAnsi" w:hAnsiTheme="majorHAnsi" w:cs="Arial"/>
          </w:rPr>
          <w:t>Communication and Visibility manual for European Union external actions</w:t>
        </w:r>
      </w:hyperlink>
      <w:r w:rsidRPr="00D80708">
        <w:rPr>
          <w:rFonts w:asciiTheme="majorHAnsi" w:hAnsiTheme="majorHAnsi" w:cs="Arial"/>
        </w:rPr>
        <w:t>.</w:t>
      </w:r>
    </w:p>
    <w:p w14:paraId="58D0B970" w14:textId="265C13F9" w:rsidR="00D80708" w:rsidRPr="00D80708" w:rsidRDefault="00D80708" w:rsidP="00D80708">
      <w:pPr>
        <w:pStyle w:val="Footer"/>
        <w:ind w:left="426" w:right="43"/>
        <w:rPr>
          <w:rFonts w:asciiTheme="majorHAnsi" w:hAnsiTheme="majorHAnsi" w:cs="Arial"/>
        </w:rPr>
      </w:pPr>
      <w:r w:rsidRPr="00D80708">
        <w:rPr>
          <w:rFonts w:asciiTheme="majorHAnsi" w:hAnsiTheme="majorHAnsi" w:cs="Arial"/>
        </w:rPr>
        <w:t xml:space="preserve"> (</w:t>
      </w:r>
      <w:hyperlink r:id="rId11" w:history="1">
        <w:r w:rsidRPr="00D80708">
          <w:rPr>
            <w:rFonts w:asciiTheme="majorHAnsi" w:hAnsiTheme="majorHAnsi" w:cs="Arial"/>
          </w:rPr>
          <w:t>https://ec.europa.eu/europeaid/sites/devco/files/communication_and_visibility_manual_en.pdf</w:t>
        </w:r>
      </w:hyperlink>
      <w:r w:rsidRPr="00D80708">
        <w:rPr>
          <w:rFonts w:asciiTheme="majorHAnsi" w:hAnsiTheme="majorHAnsi" w:cs="Arial"/>
        </w:rPr>
        <w:t>).</w:t>
      </w:r>
    </w:p>
    <w:sectPr w:rsidR="00D80708" w:rsidRPr="00D80708" w:rsidSect="00D80708">
      <w:headerReference w:type="default" r:id="rId12"/>
      <w:footerReference w:type="default" r:id="rId13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AFA6" w14:textId="77777777" w:rsidR="009F12A9" w:rsidRDefault="009F12A9" w:rsidP="00A455AC">
      <w:pPr>
        <w:spacing w:after="0" w:line="240" w:lineRule="auto"/>
      </w:pPr>
      <w:r>
        <w:separator/>
      </w:r>
    </w:p>
  </w:endnote>
  <w:endnote w:type="continuationSeparator" w:id="0">
    <w:p w14:paraId="69C0C307" w14:textId="77777777" w:rsidR="009F12A9" w:rsidRDefault="009F12A9" w:rsidP="00A4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968ED" w14:textId="77777777" w:rsidR="00A455AC" w:rsidRDefault="00D80708" w:rsidP="00A455AC">
    <w:pPr>
      <w:pStyle w:val="Footer"/>
      <w:ind w:left="1416"/>
      <w:rPr>
        <w:noProof/>
        <w:lang w:eastAsia="it-IT"/>
      </w:rPr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0B2A6CF0" wp14:editId="75A1FAF7">
          <wp:simplePos x="0" y="0"/>
          <wp:positionH relativeFrom="margin">
            <wp:posOffset>5261610</wp:posOffset>
          </wp:positionH>
          <wp:positionV relativeFrom="margin">
            <wp:posOffset>9003030</wp:posOffset>
          </wp:positionV>
          <wp:extent cx="419100" cy="295275"/>
          <wp:effectExtent l="19050" t="0" r="0" b="0"/>
          <wp:wrapSquare wrapText="bothSides"/>
          <wp:docPr id="4" name="Image 4" descr="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 f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225D661" wp14:editId="609E42CB">
          <wp:simplePos x="0" y="0"/>
          <wp:positionH relativeFrom="margin">
            <wp:posOffset>3810</wp:posOffset>
          </wp:positionH>
          <wp:positionV relativeFrom="margin">
            <wp:posOffset>8917305</wp:posOffset>
          </wp:positionV>
          <wp:extent cx="685800" cy="5334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DA_LOGO N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5AC">
      <w:tab/>
    </w:r>
    <w:r w:rsidR="00A455AC">
      <w:tab/>
    </w:r>
    <w:r w:rsidR="00A455AC">
      <w:rPr>
        <w:noProof/>
        <w:lang w:eastAsia="it-IT"/>
      </w:rPr>
      <w:t xml:space="preserve"> </w:t>
    </w:r>
  </w:p>
  <w:p w14:paraId="42DB1D3F" w14:textId="77777777" w:rsidR="00A455AC" w:rsidRDefault="009F12A9" w:rsidP="00A455AC">
    <w:pPr>
      <w:pStyle w:val="Footer"/>
      <w:tabs>
        <w:tab w:val="clear" w:pos="4819"/>
        <w:tab w:val="clear" w:pos="9638"/>
        <w:tab w:val="left" w:pos="4032"/>
      </w:tabs>
    </w:pPr>
    <w:r>
      <w:rPr>
        <w:noProof/>
        <w:lang w:eastAsia="it-IT"/>
      </w:rPr>
      <w:pict w14:anchorId="327553BE"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margin-left:363pt;margin-top:18.35pt;width:133.8pt;height:18pt;z-index:251662336;visibility:visible;mso-width-relative:margin;mso-height-relative:margin" fillcolor="white [3201]" stroked="f" strokeweight=".5pt">
          <v:textbox style="mso-next-textbox:#Casella di testo 1">
            <w:txbxContent>
              <w:p w14:paraId="5A1A6C60" w14:textId="77777777" w:rsidR="00A455AC" w:rsidRPr="00D80708" w:rsidRDefault="00A455AC">
                <w:pPr>
                  <w:rPr>
                    <w:sz w:val="16"/>
                    <w:szCs w:val="18"/>
                    <w:lang w:val="en-GB"/>
                  </w:rPr>
                </w:pPr>
                <w:r w:rsidRPr="00D80708">
                  <w:rPr>
                    <w:sz w:val="16"/>
                    <w:szCs w:val="18"/>
                    <w:lang w:val="en-GB"/>
                  </w:rPr>
                  <w:t xml:space="preserve">With the financial support of the </w:t>
                </w:r>
                <w:r w:rsidR="00E07CD3" w:rsidRPr="00D80708">
                  <w:rPr>
                    <w:sz w:val="16"/>
                    <w:szCs w:val="18"/>
                    <w:lang w:val="en-GB"/>
                  </w:rPr>
                  <w:t>EU</w:t>
                </w:r>
              </w:p>
            </w:txbxContent>
          </v:textbox>
        </v:shape>
      </w:pict>
    </w:r>
    <w:r w:rsidR="00A455AC">
      <w:tab/>
    </w:r>
    <w:r w:rsidR="00A455AC">
      <w:tab/>
    </w:r>
    <w:r w:rsidR="00A455AC">
      <w:tab/>
    </w:r>
    <w:r w:rsidR="00A455A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AF93F" w14:textId="77777777" w:rsidR="009F12A9" w:rsidRDefault="009F12A9" w:rsidP="00A455AC">
      <w:pPr>
        <w:spacing w:after="0" w:line="240" w:lineRule="auto"/>
      </w:pPr>
      <w:r>
        <w:separator/>
      </w:r>
    </w:p>
  </w:footnote>
  <w:footnote w:type="continuationSeparator" w:id="0">
    <w:p w14:paraId="7D2701BD" w14:textId="77777777" w:rsidR="009F12A9" w:rsidRDefault="009F12A9" w:rsidP="00A4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7518C" w14:textId="77777777" w:rsidR="00D80708" w:rsidRPr="00B53279" w:rsidRDefault="00D80708" w:rsidP="00D80708">
    <w:pPr>
      <w:pStyle w:val="Header"/>
      <w:jc w:val="right"/>
      <w:rPr>
        <w:noProof/>
        <w:lang w:val="en-US" w:eastAsia="fr-BE"/>
      </w:rPr>
    </w:pPr>
    <w:r>
      <w:rPr>
        <w:rFonts w:asciiTheme="majorHAnsi" w:hAnsiTheme="majorHAnsi"/>
        <w:noProof/>
        <w:sz w:val="28"/>
        <w:lang w:val="hr-HR" w:eastAsia="hr-HR"/>
      </w:rPr>
      <w:drawing>
        <wp:anchor distT="0" distB="0" distL="114300" distR="114300" simplePos="0" relativeHeight="251663360" behindDoc="0" locked="0" layoutInCell="1" allowOverlap="1" wp14:anchorId="605421D7" wp14:editId="16A320B5">
          <wp:simplePos x="0" y="0"/>
          <wp:positionH relativeFrom="margin">
            <wp:posOffset>3810</wp:posOffset>
          </wp:positionH>
          <wp:positionV relativeFrom="margin">
            <wp:posOffset>-760095</wp:posOffset>
          </wp:positionV>
          <wp:extent cx="1524000" cy="685800"/>
          <wp:effectExtent l="19050" t="0" r="0" b="0"/>
          <wp:wrapSquare wrapText="bothSides"/>
          <wp:docPr id="3" name="Immagine 3" descr="LADDER logo (lo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DDER logo (low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0708">
      <w:rPr>
        <w:rFonts w:asciiTheme="majorHAnsi" w:hAnsiTheme="majorHAnsi"/>
        <w:sz w:val="28"/>
        <w:lang w:val="en-GB"/>
      </w:rPr>
      <w:t>LADDER re-granting</w:t>
    </w:r>
    <w:r w:rsidRPr="00B53279">
      <w:rPr>
        <w:noProof/>
        <w:lang w:val="en-US" w:eastAsia="fr-BE"/>
      </w:rPr>
      <w:t xml:space="preserve"> </w:t>
    </w:r>
  </w:p>
  <w:p w14:paraId="2EE01724" w14:textId="77777777" w:rsidR="00D80708" w:rsidRPr="00B53279" w:rsidRDefault="00D80708" w:rsidP="00D80708">
    <w:pPr>
      <w:pStyle w:val="Header"/>
      <w:jc w:val="right"/>
      <w:rPr>
        <w:noProof/>
        <w:lang w:val="en-US" w:eastAsia="fr-BE"/>
      </w:rPr>
    </w:pPr>
    <w:r w:rsidRPr="00B53279">
      <w:rPr>
        <w:noProof/>
        <w:lang w:val="en-US" w:eastAsia="fr-BE"/>
      </w:rPr>
      <w:t>Call for proposals</w:t>
    </w:r>
    <w:r w:rsidR="00464916">
      <w:rPr>
        <w:noProof/>
        <w:lang w:val="en-US" w:eastAsia="fr-BE"/>
      </w:rPr>
      <w:t xml:space="preserve"> - 2017</w:t>
    </w:r>
  </w:p>
  <w:p w14:paraId="65E48B27" w14:textId="77777777" w:rsidR="00A455AC" w:rsidRDefault="00D80708" w:rsidP="00D80708">
    <w:pPr>
      <w:pStyle w:val="Header"/>
      <w:jc w:val="right"/>
    </w:pPr>
    <w:r>
      <w:rPr>
        <w:noProof/>
        <w:lang w:val="fr-BE" w:eastAsia="fr-BE"/>
      </w:rPr>
      <w:t>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F084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6534"/>
    <w:multiLevelType w:val="hybridMultilevel"/>
    <w:tmpl w:val="1D62B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8FC"/>
    <w:multiLevelType w:val="hybridMultilevel"/>
    <w:tmpl w:val="D4B8196C"/>
    <w:lvl w:ilvl="0" w:tplc="B3206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C6859"/>
    <w:multiLevelType w:val="hybridMultilevel"/>
    <w:tmpl w:val="CF84B5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0C03"/>
    <w:multiLevelType w:val="multilevel"/>
    <w:tmpl w:val="2346B75C"/>
    <w:styleLink w:val="WWNum1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Helvetica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Helvetica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Helvetica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C17725F"/>
    <w:multiLevelType w:val="multilevel"/>
    <w:tmpl w:val="DC54460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5AC"/>
    <w:rsid w:val="000126A8"/>
    <w:rsid w:val="00065A6A"/>
    <w:rsid w:val="001853DC"/>
    <w:rsid w:val="001B21EA"/>
    <w:rsid w:val="001E5E8D"/>
    <w:rsid w:val="0020461E"/>
    <w:rsid w:val="0020749C"/>
    <w:rsid w:val="0021269C"/>
    <w:rsid w:val="002F5DA9"/>
    <w:rsid w:val="003761CC"/>
    <w:rsid w:val="003A6D64"/>
    <w:rsid w:val="003D23FA"/>
    <w:rsid w:val="003D71DD"/>
    <w:rsid w:val="004020D0"/>
    <w:rsid w:val="00405A0A"/>
    <w:rsid w:val="00413783"/>
    <w:rsid w:val="00416026"/>
    <w:rsid w:val="00454264"/>
    <w:rsid w:val="00460811"/>
    <w:rsid w:val="00464916"/>
    <w:rsid w:val="004E5A3F"/>
    <w:rsid w:val="004E7412"/>
    <w:rsid w:val="00575426"/>
    <w:rsid w:val="00595719"/>
    <w:rsid w:val="005A430D"/>
    <w:rsid w:val="005C4092"/>
    <w:rsid w:val="005D30DE"/>
    <w:rsid w:val="006050C8"/>
    <w:rsid w:val="00613908"/>
    <w:rsid w:val="00617B15"/>
    <w:rsid w:val="006B36CA"/>
    <w:rsid w:val="006E4A45"/>
    <w:rsid w:val="00703184"/>
    <w:rsid w:val="00765FE4"/>
    <w:rsid w:val="00780000"/>
    <w:rsid w:val="007F56C4"/>
    <w:rsid w:val="00803C42"/>
    <w:rsid w:val="00813BF6"/>
    <w:rsid w:val="008340CD"/>
    <w:rsid w:val="00836136"/>
    <w:rsid w:val="00844853"/>
    <w:rsid w:val="00852A05"/>
    <w:rsid w:val="00856A86"/>
    <w:rsid w:val="00927800"/>
    <w:rsid w:val="009678BD"/>
    <w:rsid w:val="009F12A9"/>
    <w:rsid w:val="00A24584"/>
    <w:rsid w:val="00A455AC"/>
    <w:rsid w:val="00A55AEE"/>
    <w:rsid w:val="00A85EF8"/>
    <w:rsid w:val="00AD79B9"/>
    <w:rsid w:val="00B23B40"/>
    <w:rsid w:val="00B53279"/>
    <w:rsid w:val="00B57AB1"/>
    <w:rsid w:val="00B834A2"/>
    <w:rsid w:val="00BC1E4A"/>
    <w:rsid w:val="00C06298"/>
    <w:rsid w:val="00C24D78"/>
    <w:rsid w:val="00C41CCC"/>
    <w:rsid w:val="00C5574E"/>
    <w:rsid w:val="00C65D7C"/>
    <w:rsid w:val="00C90A33"/>
    <w:rsid w:val="00CA7DB6"/>
    <w:rsid w:val="00CF65C6"/>
    <w:rsid w:val="00D45FFF"/>
    <w:rsid w:val="00D61E91"/>
    <w:rsid w:val="00D80708"/>
    <w:rsid w:val="00D97357"/>
    <w:rsid w:val="00DA40E6"/>
    <w:rsid w:val="00DB0E33"/>
    <w:rsid w:val="00E07CD3"/>
    <w:rsid w:val="00E11B96"/>
    <w:rsid w:val="00E34183"/>
    <w:rsid w:val="00E51027"/>
    <w:rsid w:val="00EF7068"/>
    <w:rsid w:val="00F14A6D"/>
    <w:rsid w:val="00F7635B"/>
    <w:rsid w:val="00F9204E"/>
    <w:rsid w:val="00FB45EF"/>
    <w:rsid w:val="00FD66E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074CCD"/>
  <w15:docId w15:val="{511B62D0-C628-477B-A364-5BF34A72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AC"/>
  </w:style>
  <w:style w:type="paragraph" w:styleId="Footer">
    <w:name w:val="footer"/>
    <w:basedOn w:val="Normal"/>
    <w:link w:val="FooterChar"/>
    <w:unhideWhenUsed/>
    <w:rsid w:val="00A4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AC"/>
  </w:style>
  <w:style w:type="paragraph" w:styleId="ListParagraph">
    <w:name w:val="List Paragraph"/>
    <w:basedOn w:val="Normal"/>
    <w:qFormat/>
    <w:rsid w:val="00AD79B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E5E8D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3FA"/>
    <w:rPr>
      <w:color w:val="0563C1" w:themeColor="hyperlink"/>
      <w:u w:val="single"/>
    </w:rPr>
  </w:style>
  <w:style w:type="paragraph" w:customStyle="1" w:styleId="Standard">
    <w:name w:val="Standard"/>
    <w:rsid w:val="00D80708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numbering" w:customStyle="1" w:styleId="WWNum1">
    <w:name w:val="WWNum1"/>
    <w:basedOn w:val="NoList"/>
    <w:rsid w:val="00D80708"/>
    <w:pPr>
      <w:numPr>
        <w:numId w:val="5"/>
      </w:numPr>
    </w:pPr>
  </w:style>
  <w:style w:type="numbering" w:customStyle="1" w:styleId="WWNum2">
    <w:name w:val="WWNum2"/>
    <w:basedOn w:val="NoList"/>
    <w:rsid w:val="00D8070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3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ledevelopment.un.org/?menu=13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dder-project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europeaid/sites/devco/files/communication_and_visibility_manual_en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uropeaid/sites/devco/files/communication_and_visibility_manual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sectors/human-rights-and-governance/development-education-and-awareness-raising_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Del Conte</dc:creator>
  <cp:keywords/>
  <dc:description/>
  <cp:lastModifiedBy>HP450</cp:lastModifiedBy>
  <cp:revision>46</cp:revision>
  <dcterms:created xsi:type="dcterms:W3CDTF">2016-03-23T15:21:00Z</dcterms:created>
  <dcterms:modified xsi:type="dcterms:W3CDTF">2017-02-06T15:47:00Z</dcterms:modified>
</cp:coreProperties>
</file>